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38F4EE"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7B192C0B"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0FBB9D2E"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2B89B8DE"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5D85D73E"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729F4102"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535ADDC9" w14:textId="46EECCEC" w:rsidR="00F66C1B" w:rsidRPr="001D4176" w:rsidRDefault="00F66C1B" w:rsidP="00430077">
      <w:pPr>
        <w:pStyle w:val="NormalWeb"/>
        <w:spacing w:before="0" w:beforeAutospacing="0" w:after="0" w:afterAutospacing="0" w:line="480" w:lineRule="auto"/>
        <w:jc w:val="center"/>
        <w:rPr>
          <w:rStyle w:val="Strong"/>
          <w:color w:val="0E101A"/>
        </w:rPr>
      </w:pPr>
      <w:r w:rsidRPr="001D4176">
        <w:rPr>
          <w:rStyle w:val="Strong"/>
          <w:color w:val="0E101A"/>
        </w:rPr>
        <w:t>Argument Paper</w:t>
      </w:r>
    </w:p>
    <w:p w14:paraId="129D936F"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422DBB14" w14:textId="05C09F59" w:rsidR="00430077" w:rsidRPr="00E533D6" w:rsidRDefault="00430077" w:rsidP="00430077">
      <w:pPr>
        <w:pStyle w:val="NormalWeb"/>
        <w:spacing w:before="0" w:beforeAutospacing="0" w:after="0" w:afterAutospacing="0" w:line="480" w:lineRule="auto"/>
        <w:jc w:val="center"/>
        <w:rPr>
          <w:rStyle w:val="Strong"/>
          <w:b w:val="0"/>
          <w:color w:val="0E101A"/>
        </w:rPr>
      </w:pPr>
      <w:r w:rsidRPr="00E533D6">
        <w:rPr>
          <w:rStyle w:val="Strong"/>
          <w:b w:val="0"/>
          <w:color w:val="0E101A"/>
        </w:rPr>
        <w:t>Name</w:t>
      </w:r>
      <w:bookmarkStart w:id="0" w:name="_GoBack"/>
      <w:bookmarkEnd w:id="0"/>
    </w:p>
    <w:p w14:paraId="6F6EB91E" w14:textId="2E545351" w:rsidR="00430077" w:rsidRPr="00E533D6" w:rsidRDefault="00430077" w:rsidP="00430077">
      <w:pPr>
        <w:pStyle w:val="NormalWeb"/>
        <w:spacing w:before="0" w:beforeAutospacing="0" w:after="0" w:afterAutospacing="0" w:line="480" w:lineRule="auto"/>
        <w:jc w:val="center"/>
        <w:rPr>
          <w:rStyle w:val="Strong"/>
          <w:b w:val="0"/>
          <w:color w:val="0E101A"/>
        </w:rPr>
      </w:pPr>
      <w:r w:rsidRPr="00E533D6">
        <w:rPr>
          <w:rStyle w:val="Strong"/>
          <w:b w:val="0"/>
          <w:color w:val="0E101A"/>
        </w:rPr>
        <w:t>Institution</w:t>
      </w:r>
    </w:p>
    <w:p w14:paraId="49ADDF17" w14:textId="35ED651E" w:rsidR="00430077" w:rsidRPr="00E533D6" w:rsidRDefault="00430077" w:rsidP="00430077">
      <w:pPr>
        <w:pStyle w:val="NormalWeb"/>
        <w:spacing w:before="0" w:beforeAutospacing="0" w:after="0" w:afterAutospacing="0" w:line="480" w:lineRule="auto"/>
        <w:jc w:val="center"/>
        <w:rPr>
          <w:rStyle w:val="Strong"/>
          <w:b w:val="0"/>
          <w:color w:val="0E101A"/>
        </w:rPr>
      </w:pPr>
      <w:r w:rsidRPr="00E533D6">
        <w:rPr>
          <w:rStyle w:val="Strong"/>
          <w:b w:val="0"/>
          <w:color w:val="0E101A"/>
        </w:rPr>
        <w:t>Date</w:t>
      </w:r>
    </w:p>
    <w:p w14:paraId="740D1BB8"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6F4D12BA"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545769C9"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38821F82"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72FF8FBF"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513A8434"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4CEE956F"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77E7954B"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0A575383"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532B8668"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47D01800"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15359823"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79E48B38"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4FBDD143" w14:textId="77777777" w:rsidR="00430077" w:rsidRPr="001D4176" w:rsidRDefault="00430077" w:rsidP="00430077">
      <w:pPr>
        <w:pStyle w:val="NormalWeb"/>
        <w:spacing w:before="0" w:beforeAutospacing="0" w:after="0" w:afterAutospacing="0" w:line="480" w:lineRule="auto"/>
        <w:jc w:val="center"/>
        <w:rPr>
          <w:rStyle w:val="Strong"/>
          <w:color w:val="0E101A"/>
        </w:rPr>
      </w:pPr>
    </w:p>
    <w:p w14:paraId="20DC6C71" w14:textId="77777777" w:rsidR="00430077" w:rsidRPr="001D4176" w:rsidRDefault="00430077" w:rsidP="00430077">
      <w:pPr>
        <w:pStyle w:val="NormalWeb"/>
        <w:spacing w:before="0" w:beforeAutospacing="0" w:after="0" w:afterAutospacing="0" w:line="480" w:lineRule="auto"/>
        <w:jc w:val="center"/>
        <w:rPr>
          <w:rStyle w:val="Strong"/>
          <w:color w:val="0E101A"/>
        </w:rPr>
      </w:pPr>
      <w:r w:rsidRPr="001D4176">
        <w:rPr>
          <w:rStyle w:val="Strong"/>
          <w:color w:val="0E101A"/>
        </w:rPr>
        <w:lastRenderedPageBreak/>
        <w:t>Argument Paper</w:t>
      </w:r>
    </w:p>
    <w:p w14:paraId="523848DC" w14:textId="368CFA11" w:rsidR="002B56F9" w:rsidRPr="001D4176" w:rsidRDefault="002B56F9" w:rsidP="00430077">
      <w:pPr>
        <w:pStyle w:val="NormalWeb"/>
        <w:spacing w:before="0" w:beforeAutospacing="0" w:after="0" w:afterAutospacing="0" w:line="480" w:lineRule="auto"/>
        <w:jc w:val="center"/>
        <w:rPr>
          <w:color w:val="0E101A"/>
        </w:rPr>
      </w:pPr>
      <w:r w:rsidRPr="001D4176">
        <w:rPr>
          <w:rStyle w:val="Strong"/>
          <w:color w:val="0E101A"/>
        </w:rPr>
        <w:t>Question</w:t>
      </w:r>
      <w:r w:rsidR="005A71F7" w:rsidRPr="001D4176">
        <w:rPr>
          <w:rStyle w:val="Strong"/>
          <w:color w:val="0E101A"/>
        </w:rPr>
        <w:t xml:space="preserve"> 2</w:t>
      </w:r>
    </w:p>
    <w:p w14:paraId="5FFB515E" w14:textId="5EBA26B1" w:rsidR="00F66C1B" w:rsidRPr="001D4176" w:rsidRDefault="00F66C1B" w:rsidP="00430077">
      <w:pPr>
        <w:pStyle w:val="NormalWeb"/>
        <w:spacing w:before="0" w:beforeAutospacing="0" w:after="0" w:afterAutospacing="0" w:line="480" w:lineRule="auto"/>
        <w:ind w:firstLine="720"/>
        <w:rPr>
          <w:color w:val="0E101A"/>
        </w:rPr>
      </w:pPr>
      <w:r w:rsidRPr="001D4176">
        <w:rPr>
          <w:color w:val="0E101A"/>
        </w:rPr>
        <w:t>From Alexander Hamilton’s and Ayn Rand’s proposals on political economies, it can be noted that there are some similarities and differences despite being are written in different eras. The two proposals aimed at providing solutions to a significant problem affecting the planet hence providing answers to various questions. Alexander Hamilton focused on the production of individuals by majoring in agriculture and manufacturing.</w:t>
      </w:r>
      <w:r w:rsidR="001D4176" w:rsidRPr="001D4176">
        <w:rPr>
          <w:rStyle w:val="FootnoteReference"/>
          <w:color w:val="0E101A"/>
        </w:rPr>
        <w:footnoteReference w:id="1"/>
      </w:r>
      <w:r w:rsidRPr="001D4176">
        <w:rPr>
          <w:color w:val="0E101A"/>
        </w:rPr>
        <w:t xml:space="preserve"> Manufacturers depend on agricultural produce for production since agriculture is the most common survival tactic for people. In agriculture, there are raw materials required from the manufacturers to make the production successful. Therefore, labor plays a vital role in production. Ayn Rand’s article proposes that even though money is said to be the root of evils, it is a tool for survival. People need and use the money to make transactions and measure the value of products during a trade. Alexander Hamilton’s and Ayn Rand’s proposals also show that labor plays an essential role in the economy.</w:t>
      </w:r>
      <w:r w:rsidR="001D4176" w:rsidRPr="001D4176">
        <w:rPr>
          <w:rStyle w:val="FootnoteReference"/>
          <w:color w:val="0E101A"/>
        </w:rPr>
        <w:footnoteReference w:id="2"/>
      </w:r>
      <w:r w:rsidRPr="001D4176">
        <w:rPr>
          <w:color w:val="0E101A"/>
        </w:rPr>
        <w:t xml:space="preserve"> Both articles claim that people need to put more effort into achieving the desired results. Production requires more labor to be sourced to increase the quantities. People also need to put more effort into using their abilities to acquire more money. </w:t>
      </w:r>
    </w:p>
    <w:p w14:paraId="476D6BD3" w14:textId="64E8BC4F" w:rsidR="00F66C1B" w:rsidRPr="001D4176" w:rsidRDefault="00F66C1B" w:rsidP="00430077">
      <w:pPr>
        <w:pStyle w:val="NormalWeb"/>
        <w:spacing w:before="0" w:beforeAutospacing="0" w:after="0" w:afterAutospacing="0" w:line="480" w:lineRule="auto"/>
        <w:ind w:firstLine="720"/>
        <w:rPr>
          <w:color w:val="0E101A"/>
        </w:rPr>
      </w:pPr>
      <w:r w:rsidRPr="001D4176">
        <w:rPr>
          <w:color w:val="0E101A"/>
        </w:rPr>
        <w:t>Alexander Hamilton’s proposal is focused on attaining raw materials for production, which includes labor. In Ayn Rand’s proposal, the main focus is made on the necessity of people’s effort to acquire money.</w:t>
      </w:r>
      <w:r w:rsidR="001D4176" w:rsidRPr="001D4176">
        <w:rPr>
          <w:rStyle w:val="FootnoteReference"/>
          <w:color w:val="0E101A"/>
        </w:rPr>
        <w:footnoteReference w:id="3"/>
      </w:r>
      <w:r w:rsidRPr="001D4176">
        <w:rPr>
          <w:color w:val="0E101A"/>
        </w:rPr>
        <w:t xml:space="preserve"> Alexander Hamilton claimed that people do not </w:t>
      </w:r>
      <w:r w:rsidRPr="001D4176">
        <w:rPr>
          <w:color w:val="0E101A"/>
        </w:rPr>
        <w:lastRenderedPageBreak/>
        <w:t>necessarily need to put more effort into production to attain their wants. The article provides an idea that asserts that soil can make crops grow by themselves even without much labor and organization from people. Ayn Rand proposed that labor is very important to the economy.</w:t>
      </w:r>
      <w:r w:rsidR="001D4176" w:rsidRPr="001D4176">
        <w:rPr>
          <w:rStyle w:val="FootnoteReference"/>
          <w:color w:val="0E101A"/>
        </w:rPr>
        <w:footnoteReference w:id="4"/>
      </w:r>
      <w:r w:rsidRPr="001D4176">
        <w:rPr>
          <w:color w:val="0E101A"/>
        </w:rPr>
        <w:t xml:space="preserve"> People need to work more and use their extreme abilities to get money. People who use energy to produce are the only ones that have the possibility of earning money. </w:t>
      </w:r>
    </w:p>
    <w:p w14:paraId="3CF7528C" w14:textId="1C365225" w:rsidR="005A71F7" w:rsidRPr="001D4176" w:rsidRDefault="005A71F7" w:rsidP="00430077">
      <w:pPr>
        <w:pStyle w:val="NormalWeb"/>
        <w:spacing w:before="0" w:beforeAutospacing="0" w:after="0" w:afterAutospacing="0" w:line="480" w:lineRule="auto"/>
        <w:jc w:val="center"/>
        <w:rPr>
          <w:color w:val="0E101A"/>
        </w:rPr>
      </w:pPr>
      <w:r w:rsidRPr="001D4176">
        <w:rPr>
          <w:rStyle w:val="Strong"/>
          <w:color w:val="0E101A"/>
        </w:rPr>
        <w:t>Question3</w:t>
      </w:r>
    </w:p>
    <w:p w14:paraId="4BCE4DFA" w14:textId="6B123B0A" w:rsidR="00F66C1B" w:rsidRPr="001D4176" w:rsidRDefault="00F66C1B" w:rsidP="00430077">
      <w:pPr>
        <w:pStyle w:val="NormalWeb"/>
        <w:spacing w:before="0" w:beforeAutospacing="0" w:after="0" w:afterAutospacing="0" w:line="480" w:lineRule="auto"/>
        <w:ind w:firstLine="720"/>
        <w:rPr>
          <w:color w:val="0E101A"/>
        </w:rPr>
      </w:pPr>
      <w:r w:rsidRPr="001D4176">
        <w:rPr>
          <w:color w:val="0E101A"/>
        </w:rPr>
        <w:t>Alexis de Tocqueville and D.H. Lawrence focus on social class issues. In Alexis de Tocqueville’s writing, a higher-class man is rich and offers work to the low-lifestyle people in society for payment. From D.H. Lawrence’s article, rich people, aristocrats offer contractual works to the less fortunate people in exchange for payment.</w:t>
      </w:r>
      <w:r w:rsidR="001D4176" w:rsidRPr="001D4176">
        <w:rPr>
          <w:rStyle w:val="FootnoteReference"/>
          <w:color w:val="0E101A"/>
        </w:rPr>
        <w:footnoteReference w:id="5"/>
      </w:r>
      <w:r w:rsidRPr="001D4176">
        <w:rPr>
          <w:color w:val="0E101A"/>
        </w:rPr>
        <w:t xml:space="preserve"> From the two pieces, it is noted that the rich people have powers to command and control work operations. The social class gap between the rich and the less fortunate is large. People who belong to the lower social class work more on complex and tedious tasks than the rich, whose task is only to make decisions and give directions to the workers.</w:t>
      </w:r>
      <w:r w:rsidR="001D4176" w:rsidRPr="001D4176">
        <w:rPr>
          <w:rStyle w:val="FootnoteReference"/>
          <w:color w:val="0E101A"/>
        </w:rPr>
        <w:footnoteReference w:id="6"/>
      </w:r>
      <w:r w:rsidRPr="001D4176">
        <w:rPr>
          <w:color w:val="0E101A"/>
        </w:rPr>
        <w:t xml:space="preserve"> Alexis de Tocqueville claims that the rich were responsible for assigning workers tasks and deciding what job was supposed to be performed. D.H. Lawrence shows that people in the higher social class entirely made all work decisions such as the number of employees, tasks to perform, work procedures and remuneration rates.</w:t>
      </w:r>
      <w:r w:rsidR="001D4176" w:rsidRPr="001D4176">
        <w:rPr>
          <w:rStyle w:val="FootnoteReference"/>
          <w:color w:val="0E101A"/>
        </w:rPr>
        <w:footnoteReference w:id="7"/>
      </w:r>
      <w:r w:rsidRPr="001D4176">
        <w:rPr>
          <w:color w:val="0E101A"/>
        </w:rPr>
        <w:t> </w:t>
      </w:r>
    </w:p>
    <w:p w14:paraId="44923EDF" w14:textId="071B0BED" w:rsidR="00F66C1B" w:rsidRPr="001D4176" w:rsidRDefault="00F66C1B" w:rsidP="00430077">
      <w:pPr>
        <w:pStyle w:val="NormalWeb"/>
        <w:spacing w:before="0" w:beforeAutospacing="0" w:after="0" w:afterAutospacing="0" w:line="480" w:lineRule="auto"/>
        <w:ind w:firstLine="720"/>
        <w:rPr>
          <w:color w:val="0E101A"/>
        </w:rPr>
      </w:pPr>
      <w:r w:rsidRPr="001D4176">
        <w:rPr>
          <w:color w:val="0E101A"/>
        </w:rPr>
        <w:lastRenderedPageBreak/>
        <w:t xml:space="preserve">From the Alexis de Tocqueville </w:t>
      </w:r>
      <w:r w:rsidR="005A71F7" w:rsidRPr="001D4176">
        <w:rPr>
          <w:color w:val="0E101A"/>
        </w:rPr>
        <w:t>discussions</w:t>
      </w:r>
      <w:r w:rsidRPr="001D4176">
        <w:rPr>
          <w:color w:val="0E101A"/>
        </w:rPr>
        <w:t>, there was democracy practiced among the aristocrats. The growth of manufacturers was therefore enhanced and this allowed more people to participate and improve. Workers were allowed to make minor decisions at the workplace. In D.H. Lawrence’s article, the rich were responsible for making all the work decisions. Workers were seen as tools of production and not human beings and this made the low class have no opportunity for growth.</w:t>
      </w:r>
      <w:r w:rsidR="001D4176" w:rsidRPr="001D4176">
        <w:rPr>
          <w:rStyle w:val="FootnoteReference"/>
          <w:color w:val="0E101A"/>
        </w:rPr>
        <w:footnoteReference w:id="8"/>
      </w:r>
      <w:r w:rsidRPr="001D4176">
        <w:rPr>
          <w:color w:val="0E101A"/>
        </w:rPr>
        <w:t xml:space="preserve"> Alexis de Tocqueville</w:t>
      </w:r>
      <w:r w:rsidR="005A71F7" w:rsidRPr="001D4176">
        <w:rPr>
          <w:color w:val="0E101A"/>
        </w:rPr>
        <w:t xml:space="preserve"> claims</w:t>
      </w:r>
      <w:r w:rsidRPr="001D4176">
        <w:rPr>
          <w:color w:val="0E101A"/>
        </w:rPr>
        <w:t xml:space="preserve"> that workers can improve productivity when more engaged in performing particular tasks. D.H. Lawrence’s </w:t>
      </w:r>
      <w:r w:rsidR="005A71F7" w:rsidRPr="001D4176">
        <w:rPr>
          <w:color w:val="0E101A"/>
        </w:rPr>
        <w:t>piece</w:t>
      </w:r>
      <w:r w:rsidRPr="001D4176">
        <w:rPr>
          <w:color w:val="0E101A"/>
        </w:rPr>
        <w:t xml:space="preserve"> shows the higher-class individual believes that workers perform better when forced to work. In Alexis de Tocqueville’s </w:t>
      </w:r>
      <w:r w:rsidR="005A71F7" w:rsidRPr="001D4176">
        <w:rPr>
          <w:color w:val="0E101A"/>
        </w:rPr>
        <w:t>book</w:t>
      </w:r>
      <w:r w:rsidRPr="001D4176">
        <w:rPr>
          <w:color w:val="0E101A"/>
        </w:rPr>
        <w:t>, labor was willingly after the workmen entered into a contract with the aristocrats. In D.H. Lawrence’s article, there was more slavery work. Workers were forced to perform tasks since people in the higher social class focused and cared more about their personal interests.  </w:t>
      </w:r>
    </w:p>
    <w:p w14:paraId="0336F084" w14:textId="77777777" w:rsidR="005A71F7" w:rsidRPr="001D4176" w:rsidRDefault="005A71F7" w:rsidP="00430077">
      <w:pPr>
        <w:pStyle w:val="NormalWeb"/>
        <w:spacing w:before="0" w:beforeAutospacing="0" w:after="0" w:afterAutospacing="0" w:line="480" w:lineRule="auto"/>
        <w:jc w:val="center"/>
        <w:rPr>
          <w:color w:val="0E101A"/>
        </w:rPr>
      </w:pPr>
      <w:r w:rsidRPr="001D4176">
        <w:rPr>
          <w:rStyle w:val="Strong"/>
          <w:color w:val="0E101A"/>
        </w:rPr>
        <w:t>Question</w:t>
      </w:r>
      <w:r w:rsidRPr="001D4176">
        <w:rPr>
          <w:b/>
          <w:bCs/>
          <w:color w:val="0E101A"/>
        </w:rPr>
        <w:t xml:space="preserve"> 4</w:t>
      </w:r>
    </w:p>
    <w:p w14:paraId="3982BCB1" w14:textId="57881312" w:rsidR="00F66C1B" w:rsidRPr="001D4176" w:rsidRDefault="00F66C1B" w:rsidP="00430077">
      <w:pPr>
        <w:pStyle w:val="NormalWeb"/>
        <w:spacing w:before="0" w:beforeAutospacing="0" w:after="0" w:afterAutospacing="0" w:line="480" w:lineRule="auto"/>
        <w:ind w:firstLine="720"/>
        <w:rPr>
          <w:color w:val="0E101A"/>
        </w:rPr>
      </w:pPr>
      <w:r w:rsidRPr="001D4176">
        <w:rPr>
          <w:color w:val="0E101A"/>
        </w:rPr>
        <w:t>Leonard E. Read and Thomas Jefferson’s articles provide an overview of the growth of the economy. Both pieces show that minimal interference can trigger more changes and cause easy operation of the economy. Leonard Read shows how a pencil is made from a tree to become more valuable. The implies how a successful business can start from a complex-looking situation. The success of a business is essential because it helps boost the economy of a state. Thomas Jefferson wrote the article claiming that minor interference can make states be able to run their economy efficiently.</w:t>
      </w:r>
      <w:r w:rsidR="001D4176" w:rsidRPr="001D4176">
        <w:rPr>
          <w:rStyle w:val="FootnoteReference"/>
          <w:color w:val="0E101A"/>
        </w:rPr>
        <w:footnoteReference w:id="9"/>
      </w:r>
      <w:r w:rsidRPr="001D4176">
        <w:rPr>
          <w:color w:val="0E101A"/>
        </w:rPr>
        <w:t xml:space="preserve"> Both </w:t>
      </w:r>
      <w:r w:rsidR="006C27B2" w:rsidRPr="001D4176">
        <w:rPr>
          <w:color w:val="0E101A"/>
        </w:rPr>
        <w:t>books</w:t>
      </w:r>
      <w:r w:rsidRPr="001D4176">
        <w:rPr>
          <w:color w:val="0E101A"/>
        </w:rPr>
        <w:t xml:space="preserve"> believe in the efforts made by people. The articles show that people do not necessarily need to rely on the government but can </w:t>
      </w:r>
      <w:r w:rsidRPr="001D4176">
        <w:rPr>
          <w:color w:val="0E101A"/>
        </w:rPr>
        <w:lastRenderedPageBreak/>
        <w:t>accomplish tasks by themselves. The two pieces indicate that small players play a significant role in the growth of the economy. Leonard suggested that when people combine their efforts willingly, they can achieve better results.</w:t>
      </w:r>
      <w:r w:rsidR="001D4176" w:rsidRPr="001D4176">
        <w:rPr>
          <w:rStyle w:val="FootnoteReference"/>
          <w:color w:val="0E101A"/>
        </w:rPr>
        <w:footnoteReference w:id="10"/>
      </w:r>
      <w:r w:rsidRPr="001D4176">
        <w:rPr>
          <w:color w:val="0E101A"/>
        </w:rPr>
        <w:t xml:space="preserve"> According to Jefferson, agrarianism was the best solution for the state since it combined different activities that promoted agriculture and the rights of low social class people, such as poor peasants.</w:t>
      </w:r>
    </w:p>
    <w:p w14:paraId="678D974F" w14:textId="6B763DE6" w:rsidR="00F66C1B" w:rsidRPr="001D4176" w:rsidRDefault="00F66C1B" w:rsidP="00430077">
      <w:pPr>
        <w:pStyle w:val="NormalWeb"/>
        <w:spacing w:before="0" w:beforeAutospacing="0" w:after="0" w:afterAutospacing="0" w:line="480" w:lineRule="auto"/>
        <w:ind w:firstLine="720"/>
        <w:rPr>
          <w:color w:val="0E101A"/>
        </w:rPr>
      </w:pPr>
      <w:r w:rsidRPr="001D4176">
        <w:rPr>
          <w:color w:val="0E101A"/>
        </w:rPr>
        <w:t>Leonard Read’s article shows that numerous people make a pencil before it becomes a complete product. Different knowledge is needed to make a pencil and therefore, people need to combine their skills.</w:t>
      </w:r>
      <w:r w:rsidR="001D4176" w:rsidRPr="001D4176">
        <w:rPr>
          <w:rStyle w:val="FootnoteReference"/>
          <w:color w:val="0E101A"/>
        </w:rPr>
        <w:footnoteReference w:id="11"/>
      </w:r>
      <w:r w:rsidRPr="001D4176">
        <w:rPr>
          <w:color w:val="0E101A"/>
        </w:rPr>
        <w:t xml:space="preserve"> Combining efforts from different people leads to the success of the work done; hence better produce is achieved. However, Thomas Jefferson insisted that the effort made by a single person is what matters. He claimed that individuals need to become independent to make the economy more prosperous. Leonard claimed that there is no particular mastermind to dictate people in the process of making the pencils.</w:t>
      </w:r>
      <w:r w:rsidR="001D4176" w:rsidRPr="001D4176">
        <w:rPr>
          <w:rStyle w:val="FootnoteReference"/>
          <w:color w:val="0E101A"/>
        </w:rPr>
        <w:footnoteReference w:id="12"/>
      </w:r>
      <w:r w:rsidRPr="001D4176">
        <w:rPr>
          <w:color w:val="0E101A"/>
        </w:rPr>
        <w:t xml:space="preserve"> Hence, the economy can be progressively made by people performing different tasks without dictations. Thomas Jefferson claimed that agrarian traditions were the best way to ensure that the economy performed well. </w:t>
      </w:r>
    </w:p>
    <w:p w14:paraId="055F3E6C" w14:textId="77777777" w:rsidR="008036FE" w:rsidRPr="001D4176" w:rsidRDefault="008036FE" w:rsidP="00430077">
      <w:pPr>
        <w:pStyle w:val="NormalWeb"/>
        <w:spacing w:before="0" w:beforeAutospacing="0" w:after="0" w:afterAutospacing="0" w:line="480" w:lineRule="auto"/>
        <w:ind w:firstLine="720"/>
        <w:rPr>
          <w:color w:val="0E101A"/>
        </w:rPr>
      </w:pPr>
    </w:p>
    <w:p w14:paraId="25AC0AC9" w14:textId="77777777" w:rsidR="001D4176" w:rsidRDefault="001D4176" w:rsidP="008036FE">
      <w:pPr>
        <w:pStyle w:val="NormalWeb"/>
        <w:spacing w:before="0" w:beforeAutospacing="0" w:after="0" w:afterAutospacing="0" w:line="480" w:lineRule="auto"/>
        <w:jc w:val="center"/>
        <w:rPr>
          <w:b/>
          <w:color w:val="222222"/>
          <w:shd w:val="clear" w:color="auto" w:fill="FFFFFF"/>
        </w:rPr>
      </w:pPr>
    </w:p>
    <w:p w14:paraId="542691A4" w14:textId="77777777" w:rsidR="001D4176" w:rsidRDefault="001D4176" w:rsidP="008036FE">
      <w:pPr>
        <w:pStyle w:val="NormalWeb"/>
        <w:spacing w:before="0" w:beforeAutospacing="0" w:after="0" w:afterAutospacing="0" w:line="480" w:lineRule="auto"/>
        <w:jc w:val="center"/>
        <w:rPr>
          <w:b/>
          <w:color w:val="222222"/>
          <w:shd w:val="clear" w:color="auto" w:fill="FFFFFF"/>
        </w:rPr>
      </w:pPr>
    </w:p>
    <w:p w14:paraId="66AE2B80" w14:textId="77777777" w:rsidR="001D4176" w:rsidRDefault="001D4176" w:rsidP="008036FE">
      <w:pPr>
        <w:pStyle w:val="NormalWeb"/>
        <w:spacing w:before="0" w:beforeAutospacing="0" w:after="0" w:afterAutospacing="0" w:line="480" w:lineRule="auto"/>
        <w:jc w:val="center"/>
        <w:rPr>
          <w:b/>
          <w:color w:val="222222"/>
          <w:shd w:val="clear" w:color="auto" w:fill="FFFFFF"/>
        </w:rPr>
      </w:pPr>
    </w:p>
    <w:p w14:paraId="42C7AF0F" w14:textId="77777777" w:rsidR="001D4176" w:rsidRDefault="001D4176" w:rsidP="008036FE">
      <w:pPr>
        <w:pStyle w:val="NormalWeb"/>
        <w:spacing w:before="0" w:beforeAutospacing="0" w:after="0" w:afterAutospacing="0" w:line="480" w:lineRule="auto"/>
        <w:jc w:val="center"/>
        <w:rPr>
          <w:b/>
          <w:color w:val="222222"/>
          <w:shd w:val="clear" w:color="auto" w:fill="FFFFFF"/>
        </w:rPr>
      </w:pPr>
    </w:p>
    <w:p w14:paraId="5D651B2A" w14:textId="520F4DCD" w:rsidR="008036FE" w:rsidRPr="001D4176" w:rsidRDefault="001D4176" w:rsidP="008036FE">
      <w:pPr>
        <w:pStyle w:val="NormalWeb"/>
        <w:spacing w:before="0" w:beforeAutospacing="0" w:after="0" w:afterAutospacing="0" w:line="480" w:lineRule="auto"/>
        <w:jc w:val="center"/>
        <w:rPr>
          <w:b/>
          <w:color w:val="222222"/>
          <w:shd w:val="clear" w:color="auto" w:fill="FFFFFF"/>
        </w:rPr>
      </w:pPr>
      <w:r>
        <w:rPr>
          <w:b/>
          <w:color w:val="222222"/>
          <w:shd w:val="clear" w:color="auto" w:fill="FFFFFF"/>
        </w:rPr>
        <w:lastRenderedPageBreak/>
        <w:t>Bibliographies</w:t>
      </w:r>
    </w:p>
    <w:p w14:paraId="367CA6CF" w14:textId="0ACFFA2B" w:rsidR="008036FE" w:rsidRPr="001D4176" w:rsidRDefault="008036FE" w:rsidP="001D4176">
      <w:pPr>
        <w:pStyle w:val="NormalWeb"/>
        <w:spacing w:before="0" w:beforeAutospacing="0" w:after="0" w:afterAutospacing="0" w:line="480" w:lineRule="auto"/>
        <w:ind w:left="720" w:hanging="720"/>
        <w:rPr>
          <w:color w:val="0E101A"/>
        </w:rPr>
      </w:pPr>
      <w:r w:rsidRPr="001D4176">
        <w:rPr>
          <w:color w:val="222222"/>
          <w:shd w:val="clear" w:color="auto" w:fill="FFFFFF"/>
        </w:rPr>
        <w:t>De Tocqueville, Alexis. </w:t>
      </w:r>
      <w:r w:rsidRPr="001D4176">
        <w:rPr>
          <w:i/>
          <w:iCs/>
          <w:color w:val="222222"/>
          <w:shd w:val="clear" w:color="auto" w:fill="FFFFFF"/>
        </w:rPr>
        <w:t>Democracy in America</w:t>
      </w:r>
      <w:r w:rsidRPr="001D4176">
        <w:rPr>
          <w:color w:val="222222"/>
          <w:shd w:val="clear" w:color="auto" w:fill="FFFFFF"/>
        </w:rPr>
        <w:t>. London: Saunders and Otley, 1838</w:t>
      </w:r>
      <w:r w:rsidRPr="001D4176">
        <w:rPr>
          <w:color w:val="222222"/>
          <w:shd w:val="clear" w:color="auto" w:fill="FFFFFF"/>
        </w:rPr>
        <w:t>.</w:t>
      </w:r>
    </w:p>
    <w:p w14:paraId="671830C8" w14:textId="77777777" w:rsidR="008036FE" w:rsidRPr="001D4176" w:rsidRDefault="008036FE" w:rsidP="001D4176">
      <w:pPr>
        <w:spacing w:line="480" w:lineRule="auto"/>
        <w:ind w:left="720" w:hanging="720"/>
        <w:rPr>
          <w:rFonts w:ascii="Times New Roman" w:hAnsi="Times New Roman" w:cs="Times New Roman"/>
          <w:color w:val="222222"/>
          <w:sz w:val="24"/>
          <w:szCs w:val="24"/>
          <w:shd w:val="clear" w:color="auto" w:fill="FFFFFF"/>
        </w:rPr>
      </w:pPr>
      <w:r w:rsidRPr="001D4176">
        <w:rPr>
          <w:rFonts w:ascii="Times New Roman" w:hAnsi="Times New Roman" w:cs="Times New Roman"/>
          <w:color w:val="222222"/>
          <w:sz w:val="24"/>
          <w:szCs w:val="24"/>
          <w:shd w:val="clear" w:color="auto" w:fill="FFFFFF"/>
        </w:rPr>
        <w:t>Hamilton, Alexander. </w:t>
      </w:r>
      <w:r w:rsidRPr="001D4176">
        <w:rPr>
          <w:rFonts w:ascii="Times New Roman" w:hAnsi="Times New Roman" w:cs="Times New Roman"/>
          <w:i/>
          <w:iCs/>
          <w:color w:val="222222"/>
          <w:sz w:val="24"/>
          <w:szCs w:val="24"/>
          <w:shd w:val="clear" w:color="auto" w:fill="FFFFFF"/>
        </w:rPr>
        <w:t>The Works of Alexander Hamilton</w:t>
      </w:r>
      <w:r w:rsidRPr="001D4176">
        <w:rPr>
          <w:rFonts w:ascii="Times New Roman" w:hAnsi="Times New Roman" w:cs="Times New Roman"/>
          <w:color w:val="222222"/>
          <w:sz w:val="24"/>
          <w:szCs w:val="24"/>
          <w:shd w:val="clear" w:color="auto" w:fill="FFFFFF"/>
        </w:rPr>
        <w:t>. Vol. 3. GP Putnam's sons, 1904.</w:t>
      </w:r>
    </w:p>
    <w:p w14:paraId="261463D7" w14:textId="4AB46378" w:rsidR="008036FE" w:rsidRPr="001D4176" w:rsidRDefault="008036FE" w:rsidP="001D4176">
      <w:pPr>
        <w:spacing w:line="480" w:lineRule="auto"/>
        <w:ind w:left="720" w:hanging="720"/>
        <w:rPr>
          <w:rFonts w:ascii="Times New Roman" w:hAnsi="Times New Roman" w:cs="Times New Roman"/>
          <w:sz w:val="24"/>
          <w:szCs w:val="24"/>
        </w:rPr>
      </w:pPr>
      <w:r w:rsidRPr="001D4176">
        <w:rPr>
          <w:rFonts w:ascii="Times New Roman" w:hAnsi="Times New Roman" w:cs="Times New Roman"/>
          <w:color w:val="222222"/>
          <w:sz w:val="24"/>
          <w:szCs w:val="24"/>
          <w:shd w:val="clear" w:color="auto" w:fill="FFFFFF"/>
        </w:rPr>
        <w:t>Jefferson, Thomas. </w:t>
      </w:r>
      <w:r w:rsidRPr="001D4176">
        <w:rPr>
          <w:rFonts w:ascii="Times New Roman" w:hAnsi="Times New Roman" w:cs="Times New Roman"/>
          <w:i/>
          <w:iCs/>
          <w:color w:val="222222"/>
          <w:sz w:val="24"/>
          <w:szCs w:val="24"/>
          <w:shd w:val="clear" w:color="auto" w:fill="FFFFFF"/>
        </w:rPr>
        <w:t xml:space="preserve">Thomas Jefferson: Notes on the State of </w:t>
      </w:r>
      <w:r w:rsidR="001D4176" w:rsidRPr="001D4176">
        <w:rPr>
          <w:rFonts w:ascii="Times New Roman" w:hAnsi="Times New Roman" w:cs="Times New Roman"/>
          <w:i/>
          <w:iCs/>
          <w:color w:val="222222"/>
          <w:sz w:val="24"/>
          <w:szCs w:val="24"/>
          <w:shd w:val="clear" w:color="auto" w:fill="FFFFFF"/>
        </w:rPr>
        <w:t xml:space="preserve">Virginia: A Compilation of Data </w:t>
      </w:r>
      <w:r w:rsidRPr="001D4176">
        <w:rPr>
          <w:rFonts w:ascii="Times New Roman" w:hAnsi="Times New Roman" w:cs="Times New Roman"/>
          <w:i/>
          <w:iCs/>
          <w:color w:val="222222"/>
          <w:sz w:val="24"/>
          <w:szCs w:val="24"/>
          <w:shd w:val="clear" w:color="auto" w:fill="FFFFFF"/>
        </w:rPr>
        <w:t>About the State's Natural Resources, Economy and the Nature of the Good Society</w:t>
      </w:r>
      <w:r w:rsidRPr="001D4176">
        <w:rPr>
          <w:rFonts w:ascii="Times New Roman" w:hAnsi="Times New Roman" w:cs="Times New Roman"/>
          <w:color w:val="222222"/>
          <w:sz w:val="24"/>
          <w:szCs w:val="24"/>
          <w:shd w:val="clear" w:color="auto" w:fill="FFFFFF"/>
        </w:rPr>
        <w:t>. e-artnow, 2018.</w:t>
      </w:r>
      <w:r w:rsidRPr="001D4176">
        <w:rPr>
          <w:rFonts w:ascii="Times New Roman" w:hAnsi="Times New Roman" w:cs="Times New Roman"/>
          <w:sz w:val="24"/>
          <w:szCs w:val="24"/>
        </w:rPr>
        <w:t xml:space="preserve"> </w:t>
      </w:r>
    </w:p>
    <w:p w14:paraId="7746FA41" w14:textId="77777777" w:rsidR="008036FE" w:rsidRPr="001D4176" w:rsidRDefault="008036FE" w:rsidP="001D4176">
      <w:pPr>
        <w:spacing w:line="480" w:lineRule="auto"/>
        <w:ind w:left="720" w:hanging="720"/>
        <w:rPr>
          <w:rFonts w:ascii="Times New Roman" w:hAnsi="Times New Roman" w:cs="Times New Roman"/>
          <w:color w:val="222222"/>
          <w:sz w:val="24"/>
          <w:szCs w:val="24"/>
          <w:shd w:val="clear" w:color="auto" w:fill="FFFFFF"/>
        </w:rPr>
      </w:pPr>
      <w:r w:rsidRPr="001D4176">
        <w:rPr>
          <w:rFonts w:ascii="Times New Roman" w:hAnsi="Times New Roman" w:cs="Times New Roman"/>
          <w:color w:val="222222"/>
          <w:sz w:val="24"/>
          <w:szCs w:val="24"/>
          <w:shd w:val="clear" w:color="auto" w:fill="FFFFFF"/>
        </w:rPr>
        <w:t>Lawrence, David Herbert. </w:t>
      </w:r>
      <w:r w:rsidRPr="001D4176">
        <w:rPr>
          <w:rFonts w:ascii="Times New Roman" w:hAnsi="Times New Roman" w:cs="Times New Roman"/>
          <w:i/>
          <w:iCs/>
          <w:color w:val="222222"/>
          <w:sz w:val="24"/>
          <w:szCs w:val="24"/>
          <w:shd w:val="clear" w:color="auto" w:fill="FFFFFF"/>
        </w:rPr>
        <w:t>Lady Chatterley's Lover and A Propos of'Lady Chatterley's Lover'</w:t>
      </w:r>
      <w:r w:rsidRPr="001D4176">
        <w:rPr>
          <w:rFonts w:ascii="Times New Roman" w:hAnsi="Times New Roman" w:cs="Times New Roman"/>
          <w:color w:val="222222"/>
          <w:sz w:val="24"/>
          <w:szCs w:val="24"/>
          <w:shd w:val="clear" w:color="auto" w:fill="FFFFFF"/>
        </w:rPr>
        <w:t>. Vol. 2. Cambridge University Press, 2002.</w:t>
      </w:r>
    </w:p>
    <w:p w14:paraId="78FB96EE" w14:textId="77777777" w:rsidR="008036FE" w:rsidRPr="001D4176" w:rsidRDefault="008036FE" w:rsidP="001D4176">
      <w:pPr>
        <w:spacing w:line="480" w:lineRule="auto"/>
        <w:ind w:left="720" w:hanging="720"/>
        <w:rPr>
          <w:rFonts w:ascii="Times New Roman" w:hAnsi="Times New Roman" w:cs="Times New Roman"/>
          <w:color w:val="222222"/>
          <w:sz w:val="24"/>
          <w:szCs w:val="24"/>
          <w:shd w:val="clear" w:color="auto" w:fill="FFFFFF"/>
        </w:rPr>
      </w:pPr>
      <w:r w:rsidRPr="001D4176">
        <w:rPr>
          <w:rFonts w:ascii="Times New Roman" w:hAnsi="Times New Roman" w:cs="Times New Roman"/>
          <w:color w:val="222222"/>
          <w:sz w:val="24"/>
          <w:szCs w:val="24"/>
          <w:shd w:val="clear" w:color="auto" w:fill="FFFFFF"/>
        </w:rPr>
        <w:t>Rand, Ayn. </w:t>
      </w:r>
      <w:r w:rsidRPr="001D4176">
        <w:rPr>
          <w:rFonts w:ascii="Times New Roman" w:hAnsi="Times New Roman" w:cs="Times New Roman"/>
          <w:i/>
          <w:iCs/>
          <w:color w:val="222222"/>
          <w:sz w:val="24"/>
          <w:szCs w:val="24"/>
          <w:shd w:val="clear" w:color="auto" w:fill="FFFFFF"/>
        </w:rPr>
        <w:t>Atlas shrugged</w:t>
      </w:r>
      <w:r w:rsidRPr="001D4176">
        <w:rPr>
          <w:rFonts w:ascii="Times New Roman" w:hAnsi="Times New Roman" w:cs="Times New Roman"/>
          <w:color w:val="222222"/>
          <w:sz w:val="24"/>
          <w:szCs w:val="24"/>
          <w:shd w:val="clear" w:color="auto" w:fill="FFFFFF"/>
        </w:rPr>
        <w:t>. Penguin, 2005.</w:t>
      </w:r>
    </w:p>
    <w:p w14:paraId="66DA2A76" w14:textId="77777777" w:rsidR="008036FE" w:rsidRPr="001D4176" w:rsidRDefault="008036FE" w:rsidP="001D4176">
      <w:pPr>
        <w:spacing w:line="480" w:lineRule="auto"/>
        <w:ind w:left="720" w:hanging="720"/>
        <w:rPr>
          <w:rFonts w:ascii="Times New Roman" w:hAnsi="Times New Roman" w:cs="Times New Roman"/>
          <w:color w:val="222222"/>
          <w:sz w:val="24"/>
          <w:szCs w:val="24"/>
          <w:shd w:val="clear" w:color="auto" w:fill="FFFFFF"/>
        </w:rPr>
      </w:pPr>
      <w:r w:rsidRPr="001D4176">
        <w:rPr>
          <w:rFonts w:ascii="Times New Roman" w:hAnsi="Times New Roman" w:cs="Times New Roman"/>
          <w:color w:val="222222"/>
          <w:sz w:val="24"/>
          <w:szCs w:val="24"/>
          <w:shd w:val="clear" w:color="auto" w:fill="FFFFFF"/>
        </w:rPr>
        <w:t>Read, Leonard E. "I, Pencil." </w:t>
      </w:r>
      <w:r w:rsidRPr="001D4176">
        <w:rPr>
          <w:rFonts w:ascii="Times New Roman" w:hAnsi="Times New Roman" w:cs="Times New Roman"/>
          <w:i/>
          <w:iCs/>
          <w:color w:val="222222"/>
          <w:sz w:val="24"/>
          <w:szCs w:val="24"/>
          <w:shd w:val="clear" w:color="auto" w:fill="FFFFFF"/>
        </w:rPr>
        <w:t>Irvington-on-Hudson, NY: Foundation for Economic Education (reprint)</w:t>
      </w:r>
      <w:r w:rsidRPr="001D4176">
        <w:rPr>
          <w:rFonts w:ascii="Times New Roman" w:hAnsi="Times New Roman" w:cs="Times New Roman"/>
          <w:color w:val="222222"/>
          <w:sz w:val="24"/>
          <w:szCs w:val="24"/>
          <w:shd w:val="clear" w:color="auto" w:fill="FFFFFF"/>
        </w:rPr>
        <w:t> (2008).</w:t>
      </w:r>
    </w:p>
    <w:p w14:paraId="5EFEDBF3" w14:textId="77777777" w:rsidR="00430077" w:rsidRPr="001D4176" w:rsidRDefault="00430077" w:rsidP="00430077">
      <w:pPr>
        <w:pStyle w:val="NormalWeb"/>
        <w:spacing w:before="0" w:beforeAutospacing="0" w:after="0" w:afterAutospacing="0" w:line="480" w:lineRule="auto"/>
        <w:ind w:firstLine="720"/>
        <w:rPr>
          <w:color w:val="0E101A"/>
        </w:rPr>
      </w:pPr>
    </w:p>
    <w:p w14:paraId="7248D343" w14:textId="77777777" w:rsidR="00430077" w:rsidRPr="001D4176" w:rsidRDefault="00430077" w:rsidP="00430077">
      <w:pPr>
        <w:pStyle w:val="NormalWeb"/>
        <w:spacing w:before="0" w:beforeAutospacing="0" w:after="0" w:afterAutospacing="0" w:line="480" w:lineRule="auto"/>
        <w:ind w:firstLine="720"/>
        <w:rPr>
          <w:color w:val="0E101A"/>
        </w:rPr>
      </w:pPr>
    </w:p>
    <w:p w14:paraId="6EDDB74F" w14:textId="77777777" w:rsidR="00430077" w:rsidRPr="001D4176" w:rsidRDefault="00430077" w:rsidP="00430077">
      <w:pPr>
        <w:pStyle w:val="NormalWeb"/>
        <w:spacing w:before="0" w:beforeAutospacing="0" w:after="0" w:afterAutospacing="0" w:line="480" w:lineRule="auto"/>
        <w:ind w:firstLine="720"/>
        <w:rPr>
          <w:color w:val="0E101A"/>
        </w:rPr>
      </w:pPr>
    </w:p>
    <w:p w14:paraId="4ACE4936" w14:textId="77777777" w:rsidR="00430077" w:rsidRPr="001D4176" w:rsidRDefault="00430077" w:rsidP="00430077">
      <w:pPr>
        <w:pStyle w:val="NormalWeb"/>
        <w:spacing w:before="0" w:beforeAutospacing="0" w:after="0" w:afterAutospacing="0" w:line="480" w:lineRule="auto"/>
        <w:ind w:firstLine="720"/>
        <w:rPr>
          <w:color w:val="0E101A"/>
        </w:rPr>
      </w:pPr>
    </w:p>
    <w:p w14:paraId="66DB6BAA" w14:textId="77777777" w:rsidR="00430077" w:rsidRPr="001D4176" w:rsidRDefault="00430077" w:rsidP="00430077">
      <w:pPr>
        <w:pStyle w:val="NormalWeb"/>
        <w:spacing w:before="0" w:beforeAutospacing="0" w:after="0" w:afterAutospacing="0" w:line="480" w:lineRule="auto"/>
        <w:ind w:firstLine="720"/>
        <w:rPr>
          <w:color w:val="0E101A"/>
        </w:rPr>
      </w:pPr>
    </w:p>
    <w:p w14:paraId="0ABE4ACD" w14:textId="77777777" w:rsidR="00430077" w:rsidRPr="001D4176" w:rsidRDefault="00430077" w:rsidP="00430077">
      <w:pPr>
        <w:pStyle w:val="NormalWeb"/>
        <w:spacing w:before="0" w:beforeAutospacing="0" w:after="0" w:afterAutospacing="0" w:line="480" w:lineRule="auto"/>
        <w:ind w:firstLine="720"/>
        <w:rPr>
          <w:color w:val="0E101A"/>
        </w:rPr>
      </w:pPr>
    </w:p>
    <w:p w14:paraId="41485F7B" w14:textId="77777777" w:rsidR="00430077" w:rsidRPr="001D4176" w:rsidRDefault="00430077" w:rsidP="00430077">
      <w:pPr>
        <w:pStyle w:val="NormalWeb"/>
        <w:spacing w:before="0" w:beforeAutospacing="0" w:after="0" w:afterAutospacing="0" w:line="480" w:lineRule="auto"/>
        <w:ind w:firstLine="720"/>
        <w:rPr>
          <w:color w:val="0E101A"/>
        </w:rPr>
      </w:pPr>
    </w:p>
    <w:p w14:paraId="1083D6B1" w14:textId="77777777" w:rsidR="00430077" w:rsidRPr="001D4176" w:rsidRDefault="00430077" w:rsidP="00430077">
      <w:pPr>
        <w:pStyle w:val="NormalWeb"/>
        <w:spacing w:before="0" w:beforeAutospacing="0" w:after="0" w:afterAutospacing="0" w:line="480" w:lineRule="auto"/>
        <w:ind w:firstLine="720"/>
        <w:rPr>
          <w:color w:val="0E101A"/>
        </w:rPr>
      </w:pPr>
    </w:p>
    <w:p w14:paraId="2CCFF215" w14:textId="77777777" w:rsidR="00430077" w:rsidRPr="001D4176" w:rsidRDefault="00430077" w:rsidP="00430077">
      <w:pPr>
        <w:pStyle w:val="NormalWeb"/>
        <w:spacing w:before="0" w:beforeAutospacing="0" w:after="0" w:afterAutospacing="0" w:line="480" w:lineRule="auto"/>
        <w:ind w:firstLine="720"/>
        <w:rPr>
          <w:color w:val="0E101A"/>
        </w:rPr>
      </w:pPr>
    </w:p>
    <w:p w14:paraId="4086E8CB" w14:textId="77777777" w:rsidR="00430077" w:rsidRPr="001D4176" w:rsidRDefault="00430077" w:rsidP="00430077">
      <w:pPr>
        <w:pStyle w:val="NormalWeb"/>
        <w:spacing w:before="0" w:beforeAutospacing="0" w:after="0" w:afterAutospacing="0" w:line="480" w:lineRule="auto"/>
        <w:ind w:firstLine="720"/>
        <w:rPr>
          <w:color w:val="0E101A"/>
        </w:rPr>
      </w:pPr>
    </w:p>
    <w:p w14:paraId="4B56F8BF" w14:textId="05E4D694" w:rsidR="008036FE" w:rsidRPr="001D4176" w:rsidRDefault="008036FE" w:rsidP="008036FE">
      <w:pPr>
        <w:spacing w:line="480" w:lineRule="auto"/>
        <w:rPr>
          <w:rFonts w:ascii="Times New Roman" w:hAnsi="Times New Roman" w:cs="Times New Roman"/>
          <w:sz w:val="24"/>
          <w:szCs w:val="24"/>
        </w:rPr>
      </w:pPr>
    </w:p>
    <w:p w14:paraId="516909E7" w14:textId="6963EF24" w:rsidR="00430077" w:rsidRPr="001D4176" w:rsidRDefault="00430077" w:rsidP="00430077">
      <w:pPr>
        <w:spacing w:line="480" w:lineRule="auto"/>
        <w:rPr>
          <w:rFonts w:ascii="Times New Roman" w:hAnsi="Times New Roman" w:cs="Times New Roman"/>
          <w:sz w:val="24"/>
          <w:szCs w:val="24"/>
        </w:rPr>
      </w:pPr>
    </w:p>
    <w:p w14:paraId="1B359FF1" w14:textId="77777777" w:rsidR="00430077" w:rsidRPr="001D4176" w:rsidRDefault="00430077" w:rsidP="00430077">
      <w:pPr>
        <w:spacing w:line="480" w:lineRule="auto"/>
        <w:jc w:val="center"/>
        <w:rPr>
          <w:rFonts w:ascii="Times New Roman" w:hAnsi="Times New Roman" w:cs="Times New Roman"/>
          <w:b/>
          <w:bCs/>
          <w:sz w:val="24"/>
          <w:szCs w:val="24"/>
        </w:rPr>
      </w:pPr>
    </w:p>
    <w:sectPr w:rsidR="00430077" w:rsidRPr="001D41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EFE13" w14:textId="77777777" w:rsidR="00526A96" w:rsidRDefault="00526A96" w:rsidP="00430077">
      <w:pPr>
        <w:spacing w:after="0" w:line="240" w:lineRule="auto"/>
      </w:pPr>
      <w:r>
        <w:separator/>
      </w:r>
    </w:p>
  </w:endnote>
  <w:endnote w:type="continuationSeparator" w:id="0">
    <w:p w14:paraId="0C243D57" w14:textId="77777777" w:rsidR="00526A96" w:rsidRDefault="00526A96" w:rsidP="0043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AE4E8B" w14:textId="77777777" w:rsidR="00526A96" w:rsidRDefault="00526A96" w:rsidP="00430077">
      <w:pPr>
        <w:spacing w:after="0" w:line="240" w:lineRule="auto"/>
      </w:pPr>
      <w:r>
        <w:separator/>
      </w:r>
    </w:p>
  </w:footnote>
  <w:footnote w:type="continuationSeparator" w:id="0">
    <w:p w14:paraId="3333568D" w14:textId="77777777" w:rsidR="00526A96" w:rsidRDefault="00526A96" w:rsidP="00430077">
      <w:pPr>
        <w:spacing w:after="0" w:line="240" w:lineRule="auto"/>
      </w:pPr>
      <w:r>
        <w:continuationSeparator/>
      </w:r>
    </w:p>
  </w:footnote>
  <w:footnote w:id="1">
    <w:p w14:paraId="5FC3344C" w14:textId="77777777" w:rsidR="001D4176" w:rsidRPr="001D4176" w:rsidRDefault="001D4176" w:rsidP="001D4176">
      <w:pPr>
        <w:spacing w:line="480" w:lineRule="auto"/>
        <w:rPr>
          <w:rFonts w:ascii="Times New Roman" w:hAnsi="Times New Roman" w:cs="Times New Roman"/>
          <w:color w:val="222222"/>
          <w:sz w:val="24"/>
          <w:szCs w:val="24"/>
          <w:shd w:val="clear" w:color="auto" w:fill="FFFFFF"/>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w:t>
      </w:r>
      <w:r w:rsidRPr="001D4176">
        <w:rPr>
          <w:rFonts w:ascii="Times New Roman" w:hAnsi="Times New Roman" w:cs="Times New Roman"/>
          <w:color w:val="222222"/>
          <w:sz w:val="24"/>
          <w:szCs w:val="24"/>
          <w:shd w:val="clear" w:color="auto" w:fill="FFFFFF"/>
        </w:rPr>
        <w:t>Hamilton, Alexander. </w:t>
      </w:r>
      <w:r w:rsidRPr="001D4176">
        <w:rPr>
          <w:rFonts w:ascii="Times New Roman" w:hAnsi="Times New Roman" w:cs="Times New Roman"/>
          <w:i/>
          <w:iCs/>
          <w:color w:val="222222"/>
          <w:sz w:val="24"/>
          <w:szCs w:val="24"/>
          <w:shd w:val="clear" w:color="auto" w:fill="FFFFFF"/>
        </w:rPr>
        <w:t>The Works of Alexander Hamilton</w:t>
      </w:r>
      <w:r w:rsidRPr="001D4176">
        <w:rPr>
          <w:rFonts w:ascii="Times New Roman" w:hAnsi="Times New Roman" w:cs="Times New Roman"/>
          <w:color w:val="222222"/>
          <w:sz w:val="24"/>
          <w:szCs w:val="24"/>
          <w:shd w:val="clear" w:color="auto" w:fill="FFFFFF"/>
        </w:rPr>
        <w:t>. Vol. 3. GP Putnam's sons, 1904.</w:t>
      </w:r>
    </w:p>
    <w:p w14:paraId="06AF92B6" w14:textId="34C40A12" w:rsidR="001D4176" w:rsidRPr="001D4176" w:rsidRDefault="001D4176">
      <w:pPr>
        <w:pStyle w:val="FootnoteText"/>
        <w:rPr>
          <w:rFonts w:ascii="Times New Roman" w:hAnsi="Times New Roman" w:cs="Times New Roman"/>
          <w:sz w:val="24"/>
          <w:szCs w:val="24"/>
        </w:rPr>
      </w:pPr>
    </w:p>
  </w:footnote>
  <w:footnote w:id="2">
    <w:p w14:paraId="266B4166" w14:textId="3028FAF1" w:rsidR="001D4176" w:rsidRPr="001D4176" w:rsidRDefault="001D4176">
      <w:pPr>
        <w:pStyle w:val="FootnoteText"/>
        <w:rPr>
          <w:rFonts w:ascii="Times New Roman" w:hAnsi="Times New Roman" w:cs="Times New Roman"/>
          <w:sz w:val="24"/>
          <w:szCs w:val="24"/>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Ibid </w:t>
      </w:r>
    </w:p>
  </w:footnote>
  <w:footnote w:id="3">
    <w:p w14:paraId="028FCB81" w14:textId="77777777" w:rsidR="001D4176" w:rsidRPr="001D4176" w:rsidRDefault="001D4176" w:rsidP="001D4176">
      <w:pPr>
        <w:spacing w:line="480" w:lineRule="auto"/>
        <w:rPr>
          <w:rFonts w:ascii="Times New Roman" w:hAnsi="Times New Roman" w:cs="Times New Roman"/>
          <w:color w:val="222222"/>
          <w:sz w:val="24"/>
          <w:szCs w:val="24"/>
          <w:shd w:val="clear" w:color="auto" w:fill="FFFFFF"/>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w:t>
      </w:r>
      <w:r w:rsidRPr="001D4176">
        <w:rPr>
          <w:rFonts w:ascii="Times New Roman" w:hAnsi="Times New Roman" w:cs="Times New Roman"/>
          <w:color w:val="222222"/>
          <w:sz w:val="24"/>
          <w:szCs w:val="24"/>
          <w:shd w:val="clear" w:color="auto" w:fill="FFFFFF"/>
        </w:rPr>
        <w:t>Rand, Ayn. </w:t>
      </w:r>
      <w:r w:rsidRPr="001D4176">
        <w:rPr>
          <w:rFonts w:ascii="Times New Roman" w:hAnsi="Times New Roman" w:cs="Times New Roman"/>
          <w:i/>
          <w:iCs/>
          <w:color w:val="222222"/>
          <w:sz w:val="24"/>
          <w:szCs w:val="24"/>
          <w:shd w:val="clear" w:color="auto" w:fill="FFFFFF"/>
        </w:rPr>
        <w:t>Atlas shrugged</w:t>
      </w:r>
      <w:r w:rsidRPr="001D4176">
        <w:rPr>
          <w:rFonts w:ascii="Times New Roman" w:hAnsi="Times New Roman" w:cs="Times New Roman"/>
          <w:color w:val="222222"/>
          <w:sz w:val="24"/>
          <w:szCs w:val="24"/>
          <w:shd w:val="clear" w:color="auto" w:fill="FFFFFF"/>
        </w:rPr>
        <w:t>. Penguin, 2005.</w:t>
      </w:r>
    </w:p>
    <w:p w14:paraId="56220C12" w14:textId="75C786EB" w:rsidR="001D4176" w:rsidRPr="001D4176" w:rsidRDefault="001D4176">
      <w:pPr>
        <w:pStyle w:val="FootnoteText"/>
        <w:rPr>
          <w:rFonts w:ascii="Times New Roman" w:hAnsi="Times New Roman" w:cs="Times New Roman"/>
          <w:sz w:val="24"/>
          <w:szCs w:val="24"/>
        </w:rPr>
      </w:pPr>
    </w:p>
  </w:footnote>
  <w:footnote w:id="4">
    <w:p w14:paraId="3BABDA14" w14:textId="77777777" w:rsidR="001D4176" w:rsidRPr="001D4176" w:rsidRDefault="001D4176" w:rsidP="001D4176">
      <w:pPr>
        <w:spacing w:line="480" w:lineRule="auto"/>
        <w:rPr>
          <w:rFonts w:ascii="Times New Roman" w:hAnsi="Times New Roman" w:cs="Times New Roman"/>
          <w:color w:val="222222"/>
          <w:sz w:val="24"/>
          <w:szCs w:val="24"/>
          <w:shd w:val="clear" w:color="auto" w:fill="FFFFFF"/>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w:t>
      </w:r>
      <w:r w:rsidRPr="001D4176">
        <w:rPr>
          <w:rFonts w:ascii="Times New Roman" w:hAnsi="Times New Roman" w:cs="Times New Roman"/>
          <w:color w:val="222222"/>
          <w:sz w:val="24"/>
          <w:szCs w:val="24"/>
          <w:shd w:val="clear" w:color="auto" w:fill="FFFFFF"/>
        </w:rPr>
        <w:t>Rand, Ayn. </w:t>
      </w:r>
      <w:r w:rsidRPr="001D4176">
        <w:rPr>
          <w:rFonts w:ascii="Times New Roman" w:hAnsi="Times New Roman" w:cs="Times New Roman"/>
          <w:i/>
          <w:iCs/>
          <w:color w:val="222222"/>
          <w:sz w:val="24"/>
          <w:szCs w:val="24"/>
          <w:shd w:val="clear" w:color="auto" w:fill="FFFFFF"/>
        </w:rPr>
        <w:t>Atlas shrugged</w:t>
      </w:r>
      <w:r w:rsidRPr="001D4176">
        <w:rPr>
          <w:rFonts w:ascii="Times New Roman" w:hAnsi="Times New Roman" w:cs="Times New Roman"/>
          <w:color w:val="222222"/>
          <w:sz w:val="24"/>
          <w:szCs w:val="24"/>
          <w:shd w:val="clear" w:color="auto" w:fill="FFFFFF"/>
        </w:rPr>
        <w:t>. Penguin, 2005.</w:t>
      </w:r>
    </w:p>
    <w:p w14:paraId="4F8D1FE7" w14:textId="50C1F39E" w:rsidR="001D4176" w:rsidRPr="001D4176" w:rsidRDefault="001D4176">
      <w:pPr>
        <w:pStyle w:val="FootnoteText"/>
        <w:rPr>
          <w:rFonts w:ascii="Times New Roman" w:hAnsi="Times New Roman" w:cs="Times New Roman"/>
          <w:sz w:val="24"/>
          <w:szCs w:val="24"/>
        </w:rPr>
      </w:pPr>
    </w:p>
  </w:footnote>
  <w:footnote w:id="5">
    <w:p w14:paraId="4FAB549B" w14:textId="77777777" w:rsidR="001D4176" w:rsidRPr="001D4176" w:rsidRDefault="001D4176" w:rsidP="001D4176">
      <w:pPr>
        <w:pStyle w:val="NormalWeb"/>
        <w:spacing w:before="0" w:beforeAutospacing="0" w:after="0" w:afterAutospacing="0" w:line="480" w:lineRule="auto"/>
        <w:rPr>
          <w:color w:val="0E101A"/>
        </w:rPr>
      </w:pPr>
      <w:r w:rsidRPr="001D4176">
        <w:rPr>
          <w:rStyle w:val="FootnoteReference"/>
        </w:rPr>
        <w:footnoteRef/>
      </w:r>
      <w:r w:rsidRPr="001D4176">
        <w:t xml:space="preserve"> </w:t>
      </w:r>
      <w:r w:rsidRPr="001D4176">
        <w:rPr>
          <w:color w:val="222222"/>
          <w:shd w:val="clear" w:color="auto" w:fill="FFFFFF"/>
        </w:rPr>
        <w:t>De Tocqueville, Alexis. </w:t>
      </w:r>
      <w:r w:rsidRPr="001D4176">
        <w:rPr>
          <w:i/>
          <w:iCs/>
          <w:color w:val="222222"/>
          <w:shd w:val="clear" w:color="auto" w:fill="FFFFFF"/>
        </w:rPr>
        <w:t>Democracy in America</w:t>
      </w:r>
      <w:r w:rsidRPr="001D4176">
        <w:rPr>
          <w:color w:val="222222"/>
          <w:shd w:val="clear" w:color="auto" w:fill="FFFFFF"/>
        </w:rPr>
        <w:t>. London: Saunders and Otley, 1838.</w:t>
      </w:r>
    </w:p>
    <w:p w14:paraId="1B086AD5" w14:textId="2071FAB2" w:rsidR="001D4176" w:rsidRPr="001D4176" w:rsidRDefault="001D4176">
      <w:pPr>
        <w:pStyle w:val="FootnoteText"/>
        <w:rPr>
          <w:rFonts w:ascii="Times New Roman" w:hAnsi="Times New Roman" w:cs="Times New Roman"/>
          <w:sz w:val="24"/>
          <w:szCs w:val="24"/>
        </w:rPr>
      </w:pPr>
    </w:p>
  </w:footnote>
  <w:footnote w:id="6">
    <w:p w14:paraId="0AA5C4D9" w14:textId="743FF65A" w:rsidR="001D4176" w:rsidRPr="001D4176" w:rsidRDefault="001D4176">
      <w:pPr>
        <w:pStyle w:val="FootnoteText"/>
        <w:rPr>
          <w:rFonts w:ascii="Times New Roman" w:hAnsi="Times New Roman" w:cs="Times New Roman"/>
          <w:sz w:val="24"/>
          <w:szCs w:val="24"/>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Ibid </w:t>
      </w:r>
    </w:p>
  </w:footnote>
  <w:footnote w:id="7">
    <w:p w14:paraId="6A7AE11D" w14:textId="77777777" w:rsidR="001D4176" w:rsidRPr="001D4176" w:rsidRDefault="001D4176" w:rsidP="001D4176">
      <w:pPr>
        <w:spacing w:line="480" w:lineRule="auto"/>
        <w:rPr>
          <w:rFonts w:ascii="Times New Roman" w:hAnsi="Times New Roman" w:cs="Times New Roman"/>
          <w:color w:val="222222"/>
          <w:sz w:val="24"/>
          <w:szCs w:val="24"/>
          <w:shd w:val="clear" w:color="auto" w:fill="FFFFFF"/>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w:t>
      </w:r>
      <w:r w:rsidRPr="001D4176">
        <w:rPr>
          <w:rFonts w:ascii="Times New Roman" w:hAnsi="Times New Roman" w:cs="Times New Roman"/>
          <w:color w:val="222222"/>
          <w:sz w:val="24"/>
          <w:szCs w:val="24"/>
          <w:shd w:val="clear" w:color="auto" w:fill="FFFFFF"/>
        </w:rPr>
        <w:t>Lawrence, David Herbert. </w:t>
      </w:r>
      <w:r w:rsidRPr="001D4176">
        <w:rPr>
          <w:rFonts w:ascii="Times New Roman" w:hAnsi="Times New Roman" w:cs="Times New Roman"/>
          <w:i/>
          <w:iCs/>
          <w:color w:val="222222"/>
          <w:sz w:val="24"/>
          <w:szCs w:val="24"/>
          <w:shd w:val="clear" w:color="auto" w:fill="FFFFFF"/>
        </w:rPr>
        <w:t>Lady Chatterley's Lover and A Propos of'Lady Chatterley's Lover'</w:t>
      </w:r>
      <w:r w:rsidRPr="001D4176">
        <w:rPr>
          <w:rFonts w:ascii="Times New Roman" w:hAnsi="Times New Roman" w:cs="Times New Roman"/>
          <w:color w:val="222222"/>
          <w:sz w:val="24"/>
          <w:szCs w:val="24"/>
          <w:shd w:val="clear" w:color="auto" w:fill="FFFFFF"/>
        </w:rPr>
        <w:t>. Vol. 2. Cambridge University Press, 2002.</w:t>
      </w:r>
    </w:p>
    <w:p w14:paraId="356FED1D" w14:textId="65618D69" w:rsidR="001D4176" w:rsidRPr="001D4176" w:rsidRDefault="001D4176">
      <w:pPr>
        <w:pStyle w:val="FootnoteText"/>
        <w:rPr>
          <w:rFonts w:ascii="Times New Roman" w:hAnsi="Times New Roman" w:cs="Times New Roman"/>
          <w:sz w:val="24"/>
          <w:szCs w:val="24"/>
        </w:rPr>
      </w:pPr>
    </w:p>
  </w:footnote>
  <w:footnote w:id="8">
    <w:p w14:paraId="3D01E3A9" w14:textId="77777777" w:rsidR="001D4176" w:rsidRPr="001D4176" w:rsidRDefault="001D4176" w:rsidP="001D4176">
      <w:pPr>
        <w:spacing w:line="480" w:lineRule="auto"/>
        <w:rPr>
          <w:rFonts w:ascii="Times New Roman" w:hAnsi="Times New Roman" w:cs="Times New Roman"/>
          <w:color w:val="222222"/>
          <w:sz w:val="24"/>
          <w:szCs w:val="24"/>
          <w:shd w:val="clear" w:color="auto" w:fill="FFFFFF"/>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w:t>
      </w:r>
      <w:r w:rsidRPr="001D4176">
        <w:rPr>
          <w:rFonts w:ascii="Times New Roman" w:hAnsi="Times New Roman" w:cs="Times New Roman"/>
          <w:color w:val="222222"/>
          <w:sz w:val="24"/>
          <w:szCs w:val="24"/>
          <w:shd w:val="clear" w:color="auto" w:fill="FFFFFF"/>
        </w:rPr>
        <w:t>Lawrence, David Herbert. </w:t>
      </w:r>
      <w:r w:rsidRPr="001D4176">
        <w:rPr>
          <w:rFonts w:ascii="Times New Roman" w:hAnsi="Times New Roman" w:cs="Times New Roman"/>
          <w:i/>
          <w:iCs/>
          <w:color w:val="222222"/>
          <w:sz w:val="24"/>
          <w:szCs w:val="24"/>
          <w:shd w:val="clear" w:color="auto" w:fill="FFFFFF"/>
        </w:rPr>
        <w:t>Lady Chatterley's Lover and A Propos of'Lady Chatterley's Lover'</w:t>
      </w:r>
      <w:r w:rsidRPr="001D4176">
        <w:rPr>
          <w:rFonts w:ascii="Times New Roman" w:hAnsi="Times New Roman" w:cs="Times New Roman"/>
          <w:color w:val="222222"/>
          <w:sz w:val="24"/>
          <w:szCs w:val="24"/>
          <w:shd w:val="clear" w:color="auto" w:fill="FFFFFF"/>
        </w:rPr>
        <w:t>. Vol. 2. Cambridge University Press, 2002.</w:t>
      </w:r>
    </w:p>
    <w:p w14:paraId="33A53646" w14:textId="396A45BB" w:rsidR="001D4176" w:rsidRPr="001D4176" w:rsidRDefault="001D4176">
      <w:pPr>
        <w:pStyle w:val="FootnoteText"/>
        <w:rPr>
          <w:rFonts w:ascii="Times New Roman" w:hAnsi="Times New Roman" w:cs="Times New Roman"/>
          <w:sz w:val="24"/>
          <w:szCs w:val="24"/>
        </w:rPr>
      </w:pPr>
    </w:p>
  </w:footnote>
  <w:footnote w:id="9">
    <w:p w14:paraId="3FB85D78" w14:textId="7F06AF8C" w:rsidR="001D4176" w:rsidRPr="001D4176" w:rsidRDefault="001D4176">
      <w:pPr>
        <w:pStyle w:val="FootnoteText"/>
        <w:rPr>
          <w:rFonts w:ascii="Times New Roman" w:hAnsi="Times New Roman" w:cs="Times New Roman"/>
          <w:sz w:val="24"/>
          <w:szCs w:val="24"/>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w:t>
      </w:r>
      <w:r w:rsidRPr="001D4176">
        <w:rPr>
          <w:rFonts w:ascii="Times New Roman" w:hAnsi="Times New Roman" w:cs="Times New Roman"/>
          <w:color w:val="222222"/>
          <w:sz w:val="24"/>
          <w:szCs w:val="24"/>
          <w:shd w:val="clear" w:color="auto" w:fill="FFFFFF"/>
        </w:rPr>
        <w:t>Jefferson, Thomas. </w:t>
      </w:r>
      <w:r w:rsidRPr="001D4176">
        <w:rPr>
          <w:rFonts w:ascii="Times New Roman" w:hAnsi="Times New Roman" w:cs="Times New Roman"/>
          <w:i/>
          <w:iCs/>
          <w:color w:val="222222"/>
          <w:sz w:val="24"/>
          <w:szCs w:val="24"/>
          <w:shd w:val="clear" w:color="auto" w:fill="FFFFFF"/>
        </w:rPr>
        <w:t>Thomas Jefferson: Notes on the State of Virginia: A Compilation of Data About the State's</w:t>
      </w:r>
    </w:p>
  </w:footnote>
  <w:footnote w:id="10">
    <w:p w14:paraId="726D558B" w14:textId="77777777" w:rsidR="001D4176" w:rsidRPr="001D4176" w:rsidRDefault="001D4176" w:rsidP="001D4176">
      <w:pPr>
        <w:spacing w:line="480" w:lineRule="auto"/>
        <w:rPr>
          <w:rFonts w:ascii="Times New Roman" w:hAnsi="Times New Roman" w:cs="Times New Roman"/>
          <w:color w:val="222222"/>
          <w:sz w:val="24"/>
          <w:szCs w:val="24"/>
          <w:shd w:val="clear" w:color="auto" w:fill="FFFFFF"/>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w:t>
      </w:r>
      <w:r w:rsidRPr="001D4176">
        <w:rPr>
          <w:rFonts w:ascii="Times New Roman" w:hAnsi="Times New Roman" w:cs="Times New Roman"/>
          <w:color w:val="222222"/>
          <w:sz w:val="24"/>
          <w:szCs w:val="24"/>
          <w:shd w:val="clear" w:color="auto" w:fill="FFFFFF"/>
        </w:rPr>
        <w:t>Read, Leonard E. "I, Pencil." </w:t>
      </w:r>
      <w:r w:rsidRPr="001D4176">
        <w:rPr>
          <w:rFonts w:ascii="Times New Roman" w:hAnsi="Times New Roman" w:cs="Times New Roman"/>
          <w:i/>
          <w:iCs/>
          <w:color w:val="222222"/>
          <w:sz w:val="24"/>
          <w:szCs w:val="24"/>
          <w:shd w:val="clear" w:color="auto" w:fill="FFFFFF"/>
        </w:rPr>
        <w:t>Irvington-on-Hudson, NY: Foundation for Economic Education (reprint)</w:t>
      </w:r>
      <w:r w:rsidRPr="001D4176">
        <w:rPr>
          <w:rFonts w:ascii="Times New Roman" w:hAnsi="Times New Roman" w:cs="Times New Roman"/>
          <w:color w:val="222222"/>
          <w:sz w:val="24"/>
          <w:szCs w:val="24"/>
          <w:shd w:val="clear" w:color="auto" w:fill="FFFFFF"/>
        </w:rPr>
        <w:t> (2008).</w:t>
      </w:r>
    </w:p>
    <w:p w14:paraId="1A507F98" w14:textId="15622D37" w:rsidR="001D4176" w:rsidRPr="001D4176" w:rsidRDefault="001D4176">
      <w:pPr>
        <w:pStyle w:val="FootnoteText"/>
        <w:rPr>
          <w:rFonts w:ascii="Times New Roman" w:hAnsi="Times New Roman" w:cs="Times New Roman"/>
          <w:sz w:val="24"/>
          <w:szCs w:val="24"/>
        </w:rPr>
      </w:pPr>
    </w:p>
  </w:footnote>
  <w:footnote w:id="11">
    <w:p w14:paraId="749C9BB4" w14:textId="42665922" w:rsidR="001D4176" w:rsidRPr="001D4176" w:rsidRDefault="001D4176">
      <w:pPr>
        <w:pStyle w:val="FootnoteText"/>
        <w:rPr>
          <w:rFonts w:ascii="Times New Roman" w:hAnsi="Times New Roman" w:cs="Times New Roman"/>
          <w:sz w:val="24"/>
          <w:szCs w:val="24"/>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Ibid</w:t>
      </w:r>
    </w:p>
    <w:p w14:paraId="417ADD9F" w14:textId="77777777" w:rsidR="001D4176" w:rsidRPr="001D4176" w:rsidRDefault="001D4176">
      <w:pPr>
        <w:pStyle w:val="FootnoteText"/>
        <w:rPr>
          <w:rFonts w:ascii="Times New Roman" w:hAnsi="Times New Roman" w:cs="Times New Roman"/>
          <w:sz w:val="24"/>
          <w:szCs w:val="24"/>
        </w:rPr>
      </w:pPr>
    </w:p>
  </w:footnote>
  <w:footnote w:id="12">
    <w:p w14:paraId="32318483" w14:textId="3BE1679E" w:rsidR="001D4176" w:rsidRPr="001D4176" w:rsidRDefault="001D4176">
      <w:pPr>
        <w:pStyle w:val="FootnoteText"/>
        <w:rPr>
          <w:rFonts w:ascii="Times New Roman" w:hAnsi="Times New Roman" w:cs="Times New Roman"/>
          <w:sz w:val="24"/>
          <w:szCs w:val="24"/>
        </w:rPr>
      </w:pPr>
      <w:r w:rsidRPr="001D4176">
        <w:rPr>
          <w:rStyle w:val="FootnoteReference"/>
          <w:rFonts w:ascii="Times New Roman" w:hAnsi="Times New Roman" w:cs="Times New Roman"/>
          <w:sz w:val="24"/>
          <w:szCs w:val="24"/>
        </w:rPr>
        <w:footnoteRef/>
      </w:r>
      <w:r w:rsidRPr="001D4176">
        <w:rPr>
          <w:rFonts w:ascii="Times New Roman" w:hAnsi="Times New Roman" w:cs="Times New Roman"/>
          <w:sz w:val="24"/>
          <w:szCs w:val="24"/>
        </w:rPr>
        <w:t xml:space="preserve"> Ibid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74650765"/>
      <w:docPartObj>
        <w:docPartGallery w:val="Page Numbers (Top of Page)"/>
        <w:docPartUnique/>
      </w:docPartObj>
    </w:sdtPr>
    <w:sdtEndPr>
      <w:rPr>
        <w:noProof/>
      </w:rPr>
    </w:sdtEndPr>
    <w:sdtContent>
      <w:p w14:paraId="50134362" w14:textId="1E5BC89D" w:rsidR="008036FE" w:rsidRPr="008036FE" w:rsidRDefault="008036FE">
        <w:pPr>
          <w:pStyle w:val="Header"/>
          <w:jc w:val="right"/>
          <w:rPr>
            <w:rFonts w:ascii="Times New Roman" w:hAnsi="Times New Roman" w:cs="Times New Roman"/>
            <w:sz w:val="24"/>
            <w:szCs w:val="24"/>
          </w:rPr>
        </w:pPr>
        <w:r w:rsidRPr="008036FE">
          <w:rPr>
            <w:rFonts w:ascii="Times New Roman" w:hAnsi="Times New Roman" w:cs="Times New Roman"/>
            <w:sz w:val="24"/>
            <w:szCs w:val="24"/>
          </w:rPr>
          <w:fldChar w:fldCharType="begin"/>
        </w:r>
        <w:r w:rsidRPr="008036FE">
          <w:rPr>
            <w:rFonts w:ascii="Times New Roman" w:hAnsi="Times New Roman" w:cs="Times New Roman"/>
            <w:sz w:val="24"/>
            <w:szCs w:val="24"/>
          </w:rPr>
          <w:instrText xml:space="preserve"> PAGE   \* MERGEFORMAT </w:instrText>
        </w:r>
        <w:r w:rsidRPr="008036FE">
          <w:rPr>
            <w:rFonts w:ascii="Times New Roman" w:hAnsi="Times New Roman" w:cs="Times New Roman"/>
            <w:sz w:val="24"/>
            <w:szCs w:val="24"/>
          </w:rPr>
          <w:fldChar w:fldCharType="separate"/>
        </w:r>
        <w:r w:rsidR="00E533D6">
          <w:rPr>
            <w:rFonts w:ascii="Times New Roman" w:hAnsi="Times New Roman" w:cs="Times New Roman"/>
            <w:noProof/>
            <w:sz w:val="24"/>
            <w:szCs w:val="24"/>
          </w:rPr>
          <w:t>1</w:t>
        </w:r>
        <w:r w:rsidRPr="008036FE">
          <w:rPr>
            <w:rFonts w:ascii="Times New Roman" w:hAnsi="Times New Roman" w:cs="Times New Roman"/>
            <w:noProof/>
            <w:sz w:val="24"/>
            <w:szCs w:val="24"/>
          </w:rPr>
          <w:fldChar w:fldCharType="end"/>
        </w:r>
      </w:p>
    </w:sdtContent>
  </w:sdt>
  <w:p w14:paraId="2A67722A" w14:textId="77777777" w:rsidR="00430077" w:rsidRPr="008036FE" w:rsidRDefault="004300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684"/>
    <w:rsid w:val="00046489"/>
    <w:rsid w:val="00050501"/>
    <w:rsid w:val="00052C06"/>
    <w:rsid w:val="000631B5"/>
    <w:rsid w:val="000B2EA7"/>
    <w:rsid w:val="000D32E7"/>
    <w:rsid w:val="00101684"/>
    <w:rsid w:val="00140C65"/>
    <w:rsid w:val="00144EF1"/>
    <w:rsid w:val="001554E5"/>
    <w:rsid w:val="00193118"/>
    <w:rsid w:val="001A2892"/>
    <w:rsid w:val="001C15D0"/>
    <w:rsid w:val="001D4176"/>
    <w:rsid w:val="001E09E6"/>
    <w:rsid w:val="001F47EC"/>
    <w:rsid w:val="00211C7A"/>
    <w:rsid w:val="00227A78"/>
    <w:rsid w:val="0023243D"/>
    <w:rsid w:val="00232802"/>
    <w:rsid w:val="00246528"/>
    <w:rsid w:val="002A71A9"/>
    <w:rsid w:val="002B3A13"/>
    <w:rsid w:val="002B56F9"/>
    <w:rsid w:val="002D4D8F"/>
    <w:rsid w:val="002F24F7"/>
    <w:rsid w:val="002F26F4"/>
    <w:rsid w:val="00305A06"/>
    <w:rsid w:val="00335CD3"/>
    <w:rsid w:val="00360156"/>
    <w:rsid w:val="003639CC"/>
    <w:rsid w:val="003D1652"/>
    <w:rsid w:val="003E222D"/>
    <w:rsid w:val="003F1031"/>
    <w:rsid w:val="003F6CA9"/>
    <w:rsid w:val="00417A2E"/>
    <w:rsid w:val="0042428C"/>
    <w:rsid w:val="00430077"/>
    <w:rsid w:val="00482C92"/>
    <w:rsid w:val="00526A96"/>
    <w:rsid w:val="00553B81"/>
    <w:rsid w:val="00560AF7"/>
    <w:rsid w:val="00574223"/>
    <w:rsid w:val="005A71F7"/>
    <w:rsid w:val="005D7D55"/>
    <w:rsid w:val="00610D58"/>
    <w:rsid w:val="00615DC3"/>
    <w:rsid w:val="0061685B"/>
    <w:rsid w:val="006453E4"/>
    <w:rsid w:val="006637D0"/>
    <w:rsid w:val="006C27B2"/>
    <w:rsid w:val="006E6228"/>
    <w:rsid w:val="006F1BAD"/>
    <w:rsid w:val="006F3C6D"/>
    <w:rsid w:val="006F77DC"/>
    <w:rsid w:val="00700A5D"/>
    <w:rsid w:val="007211BA"/>
    <w:rsid w:val="00757B2B"/>
    <w:rsid w:val="00787D40"/>
    <w:rsid w:val="007C7627"/>
    <w:rsid w:val="007D4C67"/>
    <w:rsid w:val="008036FE"/>
    <w:rsid w:val="0083646B"/>
    <w:rsid w:val="00841279"/>
    <w:rsid w:val="00850E8B"/>
    <w:rsid w:val="00885736"/>
    <w:rsid w:val="0089229F"/>
    <w:rsid w:val="008A2CE0"/>
    <w:rsid w:val="008D520F"/>
    <w:rsid w:val="0099457C"/>
    <w:rsid w:val="009F3A69"/>
    <w:rsid w:val="00A4307B"/>
    <w:rsid w:val="00A75919"/>
    <w:rsid w:val="00A92B0D"/>
    <w:rsid w:val="00AB3CDB"/>
    <w:rsid w:val="00AF1207"/>
    <w:rsid w:val="00BB019D"/>
    <w:rsid w:val="00BC56A5"/>
    <w:rsid w:val="00BE4B59"/>
    <w:rsid w:val="00C12B9A"/>
    <w:rsid w:val="00C52592"/>
    <w:rsid w:val="00C6009A"/>
    <w:rsid w:val="00CD2182"/>
    <w:rsid w:val="00D06C0B"/>
    <w:rsid w:val="00D6349E"/>
    <w:rsid w:val="00D70486"/>
    <w:rsid w:val="00DA1B24"/>
    <w:rsid w:val="00DD79AD"/>
    <w:rsid w:val="00E06343"/>
    <w:rsid w:val="00E20754"/>
    <w:rsid w:val="00E34B2F"/>
    <w:rsid w:val="00E45D97"/>
    <w:rsid w:val="00E533D6"/>
    <w:rsid w:val="00E56E64"/>
    <w:rsid w:val="00E8437C"/>
    <w:rsid w:val="00EB31BE"/>
    <w:rsid w:val="00EE0439"/>
    <w:rsid w:val="00EE7552"/>
    <w:rsid w:val="00EE7843"/>
    <w:rsid w:val="00F01BEB"/>
    <w:rsid w:val="00F55CD0"/>
    <w:rsid w:val="00F62B98"/>
    <w:rsid w:val="00F66C1B"/>
    <w:rsid w:val="00F85BD3"/>
    <w:rsid w:val="00FA78B3"/>
    <w:rsid w:val="00FC3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2B7CE"/>
  <w15:chartTrackingRefBased/>
  <w15:docId w15:val="{A5BED082-399B-49C9-8DED-D2188EC40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00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6C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6C1B"/>
    <w:rPr>
      <w:b/>
      <w:bCs/>
    </w:rPr>
  </w:style>
  <w:style w:type="paragraph" w:styleId="FootnoteText">
    <w:name w:val="footnote text"/>
    <w:basedOn w:val="Normal"/>
    <w:link w:val="FootnoteTextChar"/>
    <w:uiPriority w:val="99"/>
    <w:semiHidden/>
    <w:unhideWhenUsed/>
    <w:rsid w:val="004300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0077"/>
    <w:rPr>
      <w:sz w:val="20"/>
      <w:szCs w:val="20"/>
    </w:rPr>
  </w:style>
  <w:style w:type="character" w:styleId="FootnoteReference">
    <w:name w:val="footnote reference"/>
    <w:basedOn w:val="DefaultParagraphFont"/>
    <w:uiPriority w:val="99"/>
    <w:semiHidden/>
    <w:unhideWhenUsed/>
    <w:rsid w:val="00430077"/>
    <w:rPr>
      <w:vertAlign w:val="superscript"/>
    </w:rPr>
  </w:style>
  <w:style w:type="character" w:customStyle="1" w:styleId="Heading1Char">
    <w:name w:val="Heading 1 Char"/>
    <w:basedOn w:val="DefaultParagraphFont"/>
    <w:link w:val="Heading1"/>
    <w:uiPriority w:val="9"/>
    <w:rsid w:val="00430077"/>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30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077"/>
  </w:style>
  <w:style w:type="paragraph" w:styleId="Footer">
    <w:name w:val="footer"/>
    <w:basedOn w:val="Normal"/>
    <w:link w:val="FooterChar"/>
    <w:uiPriority w:val="99"/>
    <w:unhideWhenUsed/>
    <w:rsid w:val="00430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78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BBD837D-D6EA-4DFF-B47D-C7C5D6156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2021-10-31T08:56:00Z</dcterms:created>
  <dcterms:modified xsi:type="dcterms:W3CDTF">2021-10-31T08:56:00Z</dcterms:modified>
</cp:coreProperties>
</file>